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BLUEY LAUNDRY POWDER/BLUEWASH/LE FRESH/LEFRESHNESS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General laundering of fabrics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 benzene sulphonic acid</w:t>
        <w:tab/>
        <w:tab/>
        <w:tab/>
        <w:t xml:space="preserve">68584-225</w:t>
        <w:tab/>
        <w:tab/>
        <w:t xml:space="preserve">&lt;5%</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Light soda ash</w:t>
        <w:tab/>
        <w:tab/>
        <w:tab/>
        <w:tab/>
        <w:tab/>
        <w:t xml:space="preserve">497-19-8</w:t>
        <w:tab/>
        <w:tab/>
        <w:t xml:space="preserve">&lt;50%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Dense soda ash</w:t>
        <w:tab/>
        <w:tab/>
        <w:tab/>
        <w:tab/>
        <w:tab/>
        <w:t xml:space="preserve">497-19-8</w:t>
        <w:tab/>
        <w:tab/>
        <w:t xml:space="preserve">&lt;50%</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White free flowing powder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lemon/eucalyptus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11 in 1% solution</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